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  <w:bookmarkStart w:id="0" w:name="_GoBack"/>
      <w:bookmarkEnd w:id="0"/>
    </w:p>
    <w:p>
      <w:pPr>
        <w:spacing w:beforeLines="5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中南林业科技大学继续教育学院“先进团支部”申报表</w:t>
      </w:r>
    </w:p>
    <w:p>
      <w:pPr>
        <w:jc w:val="center"/>
        <w:rPr>
          <w:rFonts w:eastAsia="方正小标宋简体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879"/>
        <w:gridCol w:w="1441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团支部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名  称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团支部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书  记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最近一次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换届时间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本年度上缴团费数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团员人数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本年度发展新团员人数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“推优”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入党人数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支部内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团干部人数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优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秀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迹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(材料可另附页)</w:t>
            </w: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学院</w:t>
            </w:r>
          </w:p>
          <w:p>
            <w:pPr>
              <w:spacing w:line="340" w:lineRule="exact"/>
              <w:jc w:val="center"/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团委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意见</w:t>
            </w: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(盖章)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525C4"/>
    <w:rsid w:val="069C4253"/>
    <w:rsid w:val="582525C4"/>
    <w:rsid w:val="5B456943"/>
    <w:rsid w:val="5FF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2021-09-22T02:18:00Z</dcterms:created>
  <dc:creator>王锦</dc:creator>
  <cp:lastModifiedBy>初少燕</cp:lastModifiedBy>
  <cp:lastPrinted>2022-09-07T06:24:54Z</cp:lastPrinted>
  <dcterms:modified xsi:type="dcterms:W3CDTF">2022-09-07T06:24:56Z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A405519A13D94EE0861EACFF51FF6125</vt:lpwstr>
  </property>
</Properties>
</file>